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0255"/>
      </w:tblGrid>
      <w:tr w:rsidR="00B567EE" w:rsidTr="00240F16">
        <w:tc>
          <w:tcPr>
            <w:tcW w:w="10255" w:type="dxa"/>
          </w:tcPr>
          <w:p w:rsidR="00B567EE" w:rsidRPr="00240F16" w:rsidRDefault="00B567EE" w:rsidP="0005330B">
            <w:pPr>
              <w:rPr>
                <w:b/>
                <w:sz w:val="24"/>
                <w:szCs w:val="24"/>
              </w:rPr>
            </w:pPr>
            <w:bookmarkStart w:id="0" w:name="_GoBack"/>
            <w:bookmarkEnd w:id="0"/>
            <w:r w:rsidRPr="00240F16">
              <w:rPr>
                <w:b/>
                <w:sz w:val="24"/>
                <w:szCs w:val="24"/>
              </w:rPr>
              <w:t>Author and Title</w:t>
            </w:r>
            <w:proofErr w:type="gramStart"/>
            <w:r w:rsidRPr="00240F16">
              <w:rPr>
                <w:b/>
                <w:sz w:val="24"/>
                <w:szCs w:val="24"/>
              </w:rPr>
              <w:t>:</w:t>
            </w:r>
            <w:proofErr w:type="gramEnd"/>
            <w:r w:rsidRPr="00240F16">
              <w:rPr>
                <w:b/>
                <w:sz w:val="24"/>
                <w:szCs w:val="24"/>
              </w:rPr>
              <w:br/>
            </w:r>
            <w:r w:rsidR="007A7DE0" w:rsidRPr="007A7DE0">
              <w:rPr>
                <w:sz w:val="24"/>
                <w:szCs w:val="24"/>
              </w:rPr>
              <w:t>Muhammad Yasir Khan</w:t>
            </w:r>
            <w:r w:rsidR="007A7DE0">
              <w:rPr>
                <w:sz w:val="24"/>
                <w:szCs w:val="24"/>
              </w:rPr>
              <w:t xml:space="preserve"> and Romina Safdar</w:t>
            </w:r>
            <w:r w:rsidR="007A7DE0" w:rsidRPr="007A7DE0">
              <w:rPr>
                <w:sz w:val="24"/>
                <w:szCs w:val="24"/>
              </w:rPr>
              <w:t>, the article is called ‘Critical Analysis of the Characters Othello and Iago in the Play " Othello " by William Shakespeare. It is a review and in-depth analysis of the play Othello written by William Shakespeare</w:t>
            </w:r>
            <w:r w:rsidRPr="00240F16">
              <w:rPr>
                <w:b/>
                <w:sz w:val="24"/>
                <w:szCs w:val="24"/>
              </w:rPr>
              <w:br/>
            </w:r>
          </w:p>
        </w:tc>
      </w:tr>
    </w:tbl>
    <w:p w:rsidR="00F77E21" w:rsidRPr="00240F16" w:rsidRDefault="00F77E21" w:rsidP="0005330B">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Pr="007A7DE0" w:rsidRDefault="00240F16" w:rsidP="008E1D7B">
            <w:pPr>
              <w:rPr>
                <w:b/>
                <w:sz w:val="24"/>
                <w:szCs w:val="24"/>
              </w:rPr>
            </w:pPr>
            <w:r w:rsidRPr="00240F16">
              <w:rPr>
                <w:b/>
                <w:sz w:val="24"/>
                <w:szCs w:val="24"/>
              </w:rPr>
              <w:t>Thesis statement (main conclusion)</w:t>
            </w:r>
            <w:proofErr w:type="gramStart"/>
            <w:r w:rsidRPr="00240F16">
              <w:rPr>
                <w:b/>
                <w:sz w:val="24"/>
                <w:szCs w:val="24"/>
              </w:rPr>
              <w:t>:</w:t>
            </w:r>
            <w:proofErr w:type="gramEnd"/>
            <w:r w:rsidRPr="00240F16">
              <w:rPr>
                <w:b/>
                <w:sz w:val="24"/>
                <w:szCs w:val="24"/>
              </w:rPr>
              <w:br/>
            </w:r>
            <w:r w:rsidR="007A7DE0">
              <w:rPr>
                <w:sz w:val="24"/>
                <w:szCs w:val="24"/>
              </w:rPr>
              <w:t xml:space="preserve">Muhammad’s main conclusion is that the play written by Shakespeare holds a different view from all other plays that Shakespeare wrote. In most of his plays except ‘Othello’ Shakespeare uses the main antagonists to convey his messages but in this case he uses the second character as the villain. </w:t>
            </w:r>
          </w:p>
        </w:tc>
      </w:tr>
    </w:tbl>
    <w:p w:rsidR="00240F16" w:rsidRPr="00240F16" w:rsidRDefault="00240F16" w:rsidP="0005330B">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8E1D7B" w:rsidRDefault="00240F16" w:rsidP="0005330B">
            <w:pPr>
              <w:rPr>
                <w:sz w:val="24"/>
                <w:szCs w:val="24"/>
              </w:rPr>
            </w:pPr>
            <w:r w:rsidRPr="00240F16">
              <w:rPr>
                <w:b/>
                <w:sz w:val="24"/>
                <w:szCs w:val="24"/>
              </w:rPr>
              <w:t xml:space="preserve">Reason(s) given </w:t>
            </w:r>
            <w:r w:rsidR="00200CC0">
              <w:rPr>
                <w:b/>
                <w:sz w:val="24"/>
                <w:szCs w:val="24"/>
              </w:rPr>
              <w:t>to</w:t>
            </w:r>
            <w:r w:rsidRPr="00240F16">
              <w:rPr>
                <w:b/>
                <w:sz w:val="24"/>
                <w:szCs w:val="24"/>
              </w:rPr>
              <w:t xml:space="preserve"> support the main conclusion:</w:t>
            </w:r>
            <w:r>
              <w:rPr>
                <w:sz w:val="26"/>
                <w:szCs w:val="26"/>
              </w:rPr>
              <w:br/>
            </w:r>
            <w:r w:rsidR="008E1D7B" w:rsidRPr="008E1D7B">
              <w:rPr>
                <w:sz w:val="24"/>
                <w:szCs w:val="24"/>
              </w:rPr>
              <w:t xml:space="preserve">Muhammad Yasir Khan and Romina Safdar </w:t>
            </w:r>
            <w:r w:rsidR="008E1D7B">
              <w:rPr>
                <w:sz w:val="24"/>
                <w:szCs w:val="24"/>
              </w:rPr>
              <w:t xml:space="preserve"> give one reasons for this twist by Shakespeare on page 10 </w:t>
            </w:r>
          </w:p>
          <w:p w:rsidR="008E1D7B" w:rsidRDefault="008E1D7B" w:rsidP="0005330B">
            <w:pPr>
              <w:rPr>
                <w:sz w:val="24"/>
                <w:szCs w:val="24"/>
              </w:rPr>
            </w:pPr>
          </w:p>
          <w:p w:rsidR="008E1D7B" w:rsidRDefault="008E1D7B" w:rsidP="0005330B">
            <w:pPr>
              <w:rPr>
                <w:sz w:val="24"/>
                <w:szCs w:val="24"/>
              </w:rPr>
            </w:pPr>
            <w:r>
              <w:rPr>
                <w:sz w:val="24"/>
                <w:szCs w:val="24"/>
              </w:rPr>
              <w:t xml:space="preserve">Othello is the ruler I the play but Iago directly influences his thoughts and action through the news and information that he feeds him; most of which are fabricated lies. People in the play view Othello as the villain yet in the real sense Lago is the influencer. The first twist is that the author of the play wanted to break the monotony of vilifying the antagonist all time and show that there actions may be as a consequence or motivation from other parties. </w:t>
            </w:r>
          </w:p>
          <w:p w:rsidR="00240F16" w:rsidRDefault="00240F16" w:rsidP="006326B6">
            <w:pPr>
              <w:rPr>
                <w:sz w:val="26"/>
                <w:szCs w:val="26"/>
              </w:rPr>
            </w:pPr>
          </w:p>
        </w:tc>
      </w:tr>
    </w:tbl>
    <w:p w:rsidR="00240F16" w:rsidRPr="00240F16" w:rsidRDefault="00240F16" w:rsidP="0005330B">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Default="00240F16" w:rsidP="00240F16">
            <w:pPr>
              <w:rPr>
                <w:sz w:val="26"/>
                <w:szCs w:val="26"/>
              </w:rPr>
            </w:pPr>
            <w:r>
              <w:rPr>
                <w:b/>
                <w:sz w:val="24"/>
                <w:szCs w:val="24"/>
              </w:rPr>
              <w:t>Examples, analogies or metaphors used to make a point</w:t>
            </w:r>
            <w:r w:rsidRPr="00240F16">
              <w:rPr>
                <w:b/>
                <w:sz w:val="24"/>
                <w:szCs w:val="24"/>
              </w:rPr>
              <w:t>:</w:t>
            </w:r>
          </w:p>
          <w:p w:rsidR="00240F16" w:rsidRDefault="006326B6" w:rsidP="00240F16">
            <w:pPr>
              <w:rPr>
                <w:sz w:val="26"/>
                <w:szCs w:val="26"/>
              </w:rPr>
            </w:pPr>
            <w:r>
              <w:rPr>
                <w:sz w:val="26"/>
                <w:szCs w:val="26"/>
              </w:rPr>
              <w:t>in page 11 Muhammad and Romina state that ‘</w:t>
            </w:r>
            <w:r w:rsidRPr="008E1D7B">
              <w:rPr>
                <w:sz w:val="26"/>
                <w:szCs w:val="26"/>
              </w:rPr>
              <w:t>Iago put forth this expression in soliloquy towards Othello, and the whole organization arrives in Cyprus as Iago is wise he can recognize that Othello is a worthy and respectable man as opposed to his shrewd nature. However, Iago uncovers the how abhorrent he genuinely on the ground that in spite of his own trustworthiness despite everything he needs to totally crush Othello's life and reputation accordingly he exploits Othello's trust.</w:t>
            </w:r>
            <w:r>
              <w:rPr>
                <w:sz w:val="26"/>
                <w:szCs w:val="26"/>
              </w:rPr>
              <w:t>’ Thus emphasizing that villains may be misguided and act out of coercion.</w:t>
            </w:r>
          </w:p>
          <w:p w:rsidR="00240F16" w:rsidRDefault="006326B6" w:rsidP="006326B6">
            <w:pPr>
              <w:rPr>
                <w:sz w:val="26"/>
                <w:szCs w:val="26"/>
              </w:rPr>
            </w:pPr>
            <w:r w:rsidRPr="006326B6">
              <w:rPr>
                <w:sz w:val="26"/>
                <w:szCs w:val="26"/>
              </w:rPr>
              <w:t>Muhammad and Romina</w:t>
            </w:r>
            <w:r>
              <w:rPr>
                <w:sz w:val="26"/>
                <w:szCs w:val="26"/>
              </w:rPr>
              <w:t xml:space="preserve"> point to Act 4 scene 1 when Lago tells Othello ‘</w:t>
            </w:r>
            <w:r w:rsidRPr="006326B6">
              <w:rPr>
                <w:sz w:val="26"/>
                <w:szCs w:val="26"/>
              </w:rPr>
              <w:t>"Do it not with poison, strangle her in her b</w:t>
            </w:r>
            <w:r>
              <w:rPr>
                <w:sz w:val="26"/>
                <w:szCs w:val="26"/>
              </w:rPr>
              <w:t xml:space="preserve">ed, even the bed which she hath </w:t>
            </w:r>
            <w:r w:rsidRPr="006326B6">
              <w:rPr>
                <w:sz w:val="26"/>
                <w:szCs w:val="26"/>
              </w:rPr>
              <w:t>contaminated."</w:t>
            </w:r>
            <w:r>
              <w:rPr>
                <w:sz w:val="26"/>
                <w:szCs w:val="26"/>
              </w:rPr>
              <w:t xml:space="preserve"> Othello then complements the idea that Lago gave him on the best way to kill Desdemona. </w:t>
            </w:r>
          </w:p>
          <w:p w:rsidR="00240F16" w:rsidRDefault="00240F16" w:rsidP="00240F16">
            <w:pPr>
              <w:rPr>
                <w:sz w:val="26"/>
                <w:szCs w:val="26"/>
              </w:rPr>
            </w:pPr>
          </w:p>
        </w:tc>
      </w:tr>
    </w:tbl>
    <w:p w:rsidR="00240F16" w:rsidRPr="00240F16" w:rsidRDefault="00240F16" w:rsidP="00240F16">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Pr="00240F16" w:rsidRDefault="00240F16" w:rsidP="00240F16">
            <w:pPr>
              <w:rPr>
                <w:b/>
                <w:sz w:val="24"/>
                <w:szCs w:val="24"/>
              </w:rPr>
            </w:pPr>
            <w:r w:rsidRPr="00240F16">
              <w:rPr>
                <w:b/>
                <w:sz w:val="24"/>
                <w:szCs w:val="24"/>
              </w:rPr>
              <w:t>Weaknesses in the author’s line of reasoning:</w:t>
            </w:r>
          </w:p>
          <w:p w:rsidR="00240F16" w:rsidRDefault="006326B6" w:rsidP="00240F16">
            <w:pPr>
              <w:rPr>
                <w:sz w:val="26"/>
                <w:szCs w:val="26"/>
              </w:rPr>
            </w:pPr>
            <w:r>
              <w:rPr>
                <w:sz w:val="26"/>
                <w:szCs w:val="26"/>
              </w:rPr>
              <w:t xml:space="preserve">In page 13 Muhammad and Romina analyze the quote </w:t>
            </w:r>
            <w:r w:rsidRPr="006326B6">
              <w:rPr>
                <w:sz w:val="26"/>
                <w:szCs w:val="26"/>
              </w:rPr>
              <w:t>“This is the night/ That either makes me or fordoes me quite.”</w:t>
            </w:r>
            <w:r>
              <w:rPr>
                <w:sz w:val="26"/>
                <w:szCs w:val="26"/>
              </w:rPr>
              <w:t xml:space="preserve"> Which were actual words said by Othello in Act 5 scene 1. </w:t>
            </w:r>
          </w:p>
          <w:p w:rsidR="006326B6" w:rsidRDefault="006326B6" w:rsidP="00240F16">
            <w:pPr>
              <w:rPr>
                <w:sz w:val="26"/>
                <w:szCs w:val="26"/>
              </w:rPr>
            </w:pPr>
            <w:r>
              <w:rPr>
                <w:sz w:val="26"/>
                <w:szCs w:val="26"/>
              </w:rPr>
              <w:t xml:space="preserve">The two authors state that Lago admitted to be unable to change the situation. By extension this means that although Lago seemed influential Othello still decided to follow his advice and actualize the words. </w:t>
            </w:r>
          </w:p>
          <w:p w:rsidR="00240F16" w:rsidRDefault="006326B6" w:rsidP="00240F16">
            <w:pPr>
              <w:rPr>
                <w:sz w:val="26"/>
                <w:szCs w:val="26"/>
              </w:rPr>
            </w:pPr>
            <w:r>
              <w:rPr>
                <w:sz w:val="26"/>
                <w:szCs w:val="26"/>
              </w:rPr>
              <w:t>This explanation is against the thesis that the villain acted out of coercion throughout the play.</w:t>
            </w:r>
          </w:p>
          <w:p w:rsidR="00240F16" w:rsidRDefault="00240F16" w:rsidP="00240F16">
            <w:pPr>
              <w:rPr>
                <w:sz w:val="26"/>
                <w:szCs w:val="26"/>
              </w:rPr>
            </w:pPr>
          </w:p>
        </w:tc>
      </w:tr>
    </w:tbl>
    <w:p w:rsidR="00240F16" w:rsidRDefault="00240F16" w:rsidP="00240F16">
      <w:pPr>
        <w:rPr>
          <w:sz w:val="26"/>
          <w:szCs w:val="26"/>
        </w:rPr>
      </w:pPr>
    </w:p>
    <w:p w:rsidR="006326B6" w:rsidRDefault="006326B6" w:rsidP="00240F16">
      <w:pPr>
        <w:rPr>
          <w:sz w:val="26"/>
          <w:szCs w:val="26"/>
        </w:rPr>
      </w:pPr>
    </w:p>
    <w:p w:rsidR="006326B6" w:rsidRDefault="006326B6" w:rsidP="006326B6">
      <w:pPr>
        <w:jc w:val="center"/>
        <w:rPr>
          <w:sz w:val="26"/>
          <w:szCs w:val="26"/>
        </w:rPr>
      </w:pPr>
      <w:r>
        <w:rPr>
          <w:sz w:val="26"/>
          <w:szCs w:val="26"/>
        </w:rPr>
        <w:lastRenderedPageBreak/>
        <w:t>References</w:t>
      </w:r>
    </w:p>
    <w:p w:rsidR="006727CE" w:rsidRDefault="006727CE" w:rsidP="006727CE">
      <w:pPr>
        <w:rPr>
          <w:sz w:val="26"/>
          <w:szCs w:val="26"/>
        </w:rPr>
      </w:pPr>
      <w:r w:rsidRPr="006727CE">
        <w:rPr>
          <w:sz w:val="26"/>
          <w:szCs w:val="26"/>
        </w:rPr>
        <w:t xml:space="preserve">ALKOLI, H. A., &amp; </w:t>
      </w:r>
      <w:proofErr w:type="spellStart"/>
      <w:r w:rsidRPr="006727CE">
        <w:rPr>
          <w:sz w:val="26"/>
          <w:szCs w:val="26"/>
        </w:rPr>
        <w:t>Ji</w:t>
      </w:r>
      <w:proofErr w:type="spellEnd"/>
      <w:r w:rsidRPr="006727CE">
        <w:rPr>
          <w:sz w:val="26"/>
          <w:szCs w:val="26"/>
        </w:rPr>
        <w:t xml:space="preserve">, S. (2018). An Analysis of Power Desire of Iago in Shakespeare’s Othello </w:t>
      </w:r>
      <w:proofErr w:type="gramStart"/>
      <w:r w:rsidRPr="006727CE">
        <w:rPr>
          <w:sz w:val="26"/>
          <w:szCs w:val="26"/>
        </w:rPr>
        <w:t>From</w:t>
      </w:r>
      <w:proofErr w:type="gramEnd"/>
      <w:r w:rsidRPr="006727CE">
        <w:rPr>
          <w:sz w:val="26"/>
          <w:szCs w:val="26"/>
        </w:rPr>
        <w:t xml:space="preserve"> Psychological Perspectives. Journal of Literature and Art Studies, 8(3), 417-421.</w:t>
      </w:r>
    </w:p>
    <w:p w:rsidR="006727CE" w:rsidRDefault="006727CE" w:rsidP="006727CE">
      <w:pPr>
        <w:rPr>
          <w:sz w:val="26"/>
          <w:szCs w:val="26"/>
        </w:rPr>
      </w:pPr>
      <w:r w:rsidRPr="006727CE">
        <w:rPr>
          <w:sz w:val="26"/>
          <w:szCs w:val="26"/>
        </w:rPr>
        <w:t>Chambers, C. G. (2016). ‘“To Love the Moor”: Postcolonial Artists Write Back to Shakespeare’s Othello. Postcolonial Interventions: An Interdisciplinary Journal of Postcolonial Studies, 1-39.</w:t>
      </w:r>
    </w:p>
    <w:p w:rsidR="006727CE" w:rsidRDefault="006727CE" w:rsidP="006727CE">
      <w:pPr>
        <w:rPr>
          <w:sz w:val="26"/>
          <w:szCs w:val="26"/>
        </w:rPr>
      </w:pPr>
      <w:r w:rsidRPr="006727CE">
        <w:rPr>
          <w:sz w:val="26"/>
          <w:szCs w:val="26"/>
        </w:rPr>
        <w:t>Gale, C. L. (2018). A Study Guide for William Shakespeare's" Othello"(1995 lit-to-film). Gale, Cengage Learning.</w:t>
      </w:r>
    </w:p>
    <w:p w:rsidR="006326B6" w:rsidRDefault="006326B6" w:rsidP="00240F16">
      <w:pPr>
        <w:rPr>
          <w:sz w:val="26"/>
          <w:szCs w:val="26"/>
        </w:rPr>
      </w:pPr>
      <w:proofErr w:type="spellStart"/>
      <w:r w:rsidRPr="006326B6">
        <w:rPr>
          <w:sz w:val="26"/>
          <w:szCs w:val="26"/>
        </w:rPr>
        <w:t>Hagberg</w:t>
      </w:r>
      <w:proofErr w:type="spellEnd"/>
      <w:r w:rsidRPr="006326B6">
        <w:rPr>
          <w:sz w:val="26"/>
          <w:szCs w:val="26"/>
        </w:rPr>
        <w:t xml:space="preserve">, G. L., &amp; </w:t>
      </w:r>
      <w:proofErr w:type="spellStart"/>
      <w:r w:rsidRPr="006326B6">
        <w:rPr>
          <w:sz w:val="26"/>
          <w:szCs w:val="26"/>
        </w:rPr>
        <w:t>Jost</w:t>
      </w:r>
      <w:proofErr w:type="spellEnd"/>
      <w:r w:rsidRPr="006326B6">
        <w:rPr>
          <w:sz w:val="26"/>
          <w:szCs w:val="26"/>
        </w:rPr>
        <w:t>, W. (Eds.). (2015). A Companion to the Philosophy of Literature. John Wiley &amp; Sons.</w:t>
      </w:r>
    </w:p>
    <w:p w:rsidR="006326B6" w:rsidRDefault="006727CE" w:rsidP="00240F16">
      <w:pPr>
        <w:rPr>
          <w:sz w:val="26"/>
          <w:szCs w:val="26"/>
        </w:rPr>
      </w:pPr>
      <w:r w:rsidRPr="006727CE">
        <w:rPr>
          <w:sz w:val="26"/>
          <w:szCs w:val="26"/>
        </w:rPr>
        <w:t>Lawrence, S. (2016). The Two Faces of Othello. In Shakespeare and the Power of the Face (pp. 75-88). Routledge.</w:t>
      </w:r>
    </w:p>
    <w:p w:rsidR="006727CE" w:rsidRDefault="006727CE" w:rsidP="00240F16">
      <w:pPr>
        <w:rPr>
          <w:sz w:val="26"/>
          <w:szCs w:val="26"/>
        </w:rPr>
      </w:pPr>
      <w:r w:rsidRPr="006727CE">
        <w:rPr>
          <w:sz w:val="26"/>
          <w:szCs w:val="26"/>
        </w:rPr>
        <w:t>Muhammad Yasir Khan and Romina Safdar</w:t>
      </w:r>
      <w:r>
        <w:rPr>
          <w:sz w:val="26"/>
          <w:szCs w:val="26"/>
        </w:rPr>
        <w:t xml:space="preserve">, 2017. </w:t>
      </w:r>
      <w:hyperlink r:id="rId6" w:history="1">
        <w:r w:rsidRPr="00137D50">
          <w:rPr>
            <w:rStyle w:val="Hyperlink"/>
            <w:sz w:val="26"/>
            <w:szCs w:val="26"/>
          </w:rPr>
          <w:t>https://www.academia.edu/33289670/Critical_Analysis_of_the_Characters_Othello_and_Iago_in_the_Play_Othello_by_William_Shakespeare</w:t>
        </w:r>
      </w:hyperlink>
    </w:p>
    <w:p w:rsidR="006727CE" w:rsidRDefault="006727CE" w:rsidP="006727CE">
      <w:pPr>
        <w:rPr>
          <w:sz w:val="26"/>
          <w:szCs w:val="26"/>
        </w:rPr>
      </w:pPr>
      <w:r w:rsidRPr="006326B6">
        <w:rPr>
          <w:sz w:val="26"/>
          <w:szCs w:val="26"/>
        </w:rPr>
        <w:t xml:space="preserve">Shakespeare, W. (2001). </w:t>
      </w:r>
      <w:proofErr w:type="spellStart"/>
      <w:proofErr w:type="gramStart"/>
      <w:r w:rsidRPr="006326B6">
        <w:rPr>
          <w:sz w:val="26"/>
          <w:szCs w:val="26"/>
        </w:rPr>
        <w:t>othello</w:t>
      </w:r>
      <w:proofErr w:type="spellEnd"/>
      <w:proofErr w:type="gramEnd"/>
      <w:r w:rsidRPr="006326B6">
        <w:rPr>
          <w:sz w:val="26"/>
          <w:szCs w:val="26"/>
        </w:rPr>
        <w:t xml:space="preserve"> (Vol. 6). Classic Books Company.</w:t>
      </w:r>
    </w:p>
    <w:p w:rsidR="006727CE" w:rsidRDefault="006727CE" w:rsidP="006727CE">
      <w:pPr>
        <w:rPr>
          <w:sz w:val="26"/>
          <w:szCs w:val="26"/>
        </w:rPr>
      </w:pPr>
      <w:r w:rsidRPr="006727CE">
        <w:rPr>
          <w:sz w:val="26"/>
          <w:szCs w:val="26"/>
        </w:rPr>
        <w:t>Walter, H. (2017). A footnote in history: Irving's 1876 Othello. Studies in Costume &amp; Performance, 2(2), 137-157.</w:t>
      </w:r>
    </w:p>
    <w:p w:rsidR="006727CE" w:rsidRDefault="006727CE">
      <w:pPr>
        <w:rPr>
          <w:sz w:val="26"/>
          <w:szCs w:val="26"/>
        </w:rPr>
      </w:pPr>
    </w:p>
    <w:sectPr w:rsidR="006727CE" w:rsidSect="00240F16">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31C1B"/>
    <w:multiLevelType w:val="hybridMultilevel"/>
    <w:tmpl w:val="F90CD76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35FD6A7F"/>
    <w:multiLevelType w:val="hybridMultilevel"/>
    <w:tmpl w:val="C61E009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50B91368"/>
    <w:multiLevelType w:val="hybridMultilevel"/>
    <w:tmpl w:val="A0DA4240"/>
    <w:lvl w:ilvl="0" w:tplc="10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3D623F"/>
    <w:multiLevelType w:val="hybridMultilevel"/>
    <w:tmpl w:val="BEB00C3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nsid w:val="56A82A6A"/>
    <w:multiLevelType w:val="hybridMultilevel"/>
    <w:tmpl w:val="9FD4EF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5B174614"/>
    <w:multiLevelType w:val="hybridMultilevel"/>
    <w:tmpl w:val="4C98B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yBAIDC0MjAxMLQyUdpeDU4uLM/DyQAsNaAEstl5QsAAAA"/>
  </w:docVars>
  <w:rsids>
    <w:rsidRoot w:val="00CF445B"/>
    <w:rsid w:val="00013D31"/>
    <w:rsid w:val="0001572D"/>
    <w:rsid w:val="0005291F"/>
    <w:rsid w:val="0005330B"/>
    <w:rsid w:val="000A4E15"/>
    <w:rsid w:val="000E66FF"/>
    <w:rsid w:val="001311C9"/>
    <w:rsid w:val="00136D09"/>
    <w:rsid w:val="001424C3"/>
    <w:rsid w:val="00161214"/>
    <w:rsid w:val="00190DFE"/>
    <w:rsid w:val="001D7436"/>
    <w:rsid w:val="001F10EF"/>
    <w:rsid w:val="00200CC0"/>
    <w:rsid w:val="002045AC"/>
    <w:rsid w:val="00240F16"/>
    <w:rsid w:val="00256868"/>
    <w:rsid w:val="00265D9C"/>
    <w:rsid w:val="002A5848"/>
    <w:rsid w:val="002D471C"/>
    <w:rsid w:val="00364227"/>
    <w:rsid w:val="00382CE0"/>
    <w:rsid w:val="003A6834"/>
    <w:rsid w:val="003D193F"/>
    <w:rsid w:val="003D66B6"/>
    <w:rsid w:val="003E089B"/>
    <w:rsid w:val="00453305"/>
    <w:rsid w:val="004B0EE0"/>
    <w:rsid w:val="004C6F94"/>
    <w:rsid w:val="005A7176"/>
    <w:rsid w:val="005B210C"/>
    <w:rsid w:val="006326B6"/>
    <w:rsid w:val="0063617F"/>
    <w:rsid w:val="00642421"/>
    <w:rsid w:val="00656695"/>
    <w:rsid w:val="006727CE"/>
    <w:rsid w:val="006D1EFA"/>
    <w:rsid w:val="00767018"/>
    <w:rsid w:val="00772C8F"/>
    <w:rsid w:val="007940A7"/>
    <w:rsid w:val="007A7630"/>
    <w:rsid w:val="007A7DE0"/>
    <w:rsid w:val="007C061C"/>
    <w:rsid w:val="0081494E"/>
    <w:rsid w:val="008153FF"/>
    <w:rsid w:val="00815405"/>
    <w:rsid w:val="00836991"/>
    <w:rsid w:val="008E1D7B"/>
    <w:rsid w:val="009124AE"/>
    <w:rsid w:val="0096562A"/>
    <w:rsid w:val="009B16CC"/>
    <w:rsid w:val="009D2E06"/>
    <w:rsid w:val="00A0466C"/>
    <w:rsid w:val="00A150A6"/>
    <w:rsid w:val="00A67372"/>
    <w:rsid w:val="00A91D7F"/>
    <w:rsid w:val="00AA3E62"/>
    <w:rsid w:val="00AB4CEA"/>
    <w:rsid w:val="00AC6621"/>
    <w:rsid w:val="00B0367C"/>
    <w:rsid w:val="00B10065"/>
    <w:rsid w:val="00B22557"/>
    <w:rsid w:val="00B33DE9"/>
    <w:rsid w:val="00B56099"/>
    <w:rsid w:val="00B567EE"/>
    <w:rsid w:val="00B80A4D"/>
    <w:rsid w:val="00BC292F"/>
    <w:rsid w:val="00C03B4C"/>
    <w:rsid w:val="00C47390"/>
    <w:rsid w:val="00C50709"/>
    <w:rsid w:val="00C63862"/>
    <w:rsid w:val="00CA0ED6"/>
    <w:rsid w:val="00CF445B"/>
    <w:rsid w:val="00D25256"/>
    <w:rsid w:val="00E47D3E"/>
    <w:rsid w:val="00E539F5"/>
    <w:rsid w:val="00E60C9F"/>
    <w:rsid w:val="00EB685C"/>
    <w:rsid w:val="00EE76C4"/>
    <w:rsid w:val="00F7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44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C061C"/>
    <w:pPr>
      <w:ind w:left="720"/>
      <w:contextualSpacing/>
    </w:pPr>
  </w:style>
  <w:style w:type="paragraph" w:styleId="EndnoteText">
    <w:name w:val="endnote text"/>
    <w:basedOn w:val="Normal"/>
    <w:link w:val="EndnoteTextChar"/>
    <w:uiPriority w:val="99"/>
    <w:unhideWhenUsed/>
    <w:rsid w:val="00767018"/>
    <w:pPr>
      <w:spacing w:after="0" w:line="240" w:lineRule="auto"/>
    </w:pPr>
    <w:rPr>
      <w:sz w:val="20"/>
      <w:szCs w:val="20"/>
      <w:lang w:val="en-CA"/>
    </w:rPr>
  </w:style>
  <w:style w:type="character" w:customStyle="1" w:styleId="EndnoteTextChar">
    <w:name w:val="Endnote Text Char"/>
    <w:basedOn w:val="DefaultParagraphFont"/>
    <w:link w:val="EndnoteText"/>
    <w:uiPriority w:val="99"/>
    <w:rsid w:val="00767018"/>
    <w:rPr>
      <w:sz w:val="20"/>
      <w:szCs w:val="20"/>
      <w:lang w:val="en-CA"/>
    </w:rPr>
  </w:style>
  <w:style w:type="character" w:styleId="Hyperlink">
    <w:name w:val="Hyperlink"/>
    <w:basedOn w:val="DefaultParagraphFont"/>
    <w:uiPriority w:val="99"/>
    <w:unhideWhenUsed/>
    <w:rsid w:val="006727C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44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C061C"/>
    <w:pPr>
      <w:ind w:left="720"/>
      <w:contextualSpacing/>
    </w:pPr>
  </w:style>
  <w:style w:type="paragraph" w:styleId="EndnoteText">
    <w:name w:val="endnote text"/>
    <w:basedOn w:val="Normal"/>
    <w:link w:val="EndnoteTextChar"/>
    <w:uiPriority w:val="99"/>
    <w:unhideWhenUsed/>
    <w:rsid w:val="00767018"/>
    <w:pPr>
      <w:spacing w:after="0" w:line="240" w:lineRule="auto"/>
    </w:pPr>
    <w:rPr>
      <w:sz w:val="20"/>
      <w:szCs w:val="20"/>
      <w:lang w:val="en-CA"/>
    </w:rPr>
  </w:style>
  <w:style w:type="character" w:customStyle="1" w:styleId="EndnoteTextChar">
    <w:name w:val="Endnote Text Char"/>
    <w:basedOn w:val="DefaultParagraphFont"/>
    <w:link w:val="EndnoteText"/>
    <w:uiPriority w:val="99"/>
    <w:rsid w:val="00767018"/>
    <w:rPr>
      <w:sz w:val="20"/>
      <w:szCs w:val="20"/>
      <w:lang w:val="en-CA"/>
    </w:rPr>
  </w:style>
  <w:style w:type="character" w:styleId="Hyperlink">
    <w:name w:val="Hyperlink"/>
    <w:basedOn w:val="DefaultParagraphFont"/>
    <w:uiPriority w:val="99"/>
    <w:unhideWhenUsed/>
    <w:rsid w:val="006727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ademia.edu/33289670/Critical_Analysis_of_the_Characters_Othello_and_Iago_in_the_Play_Othello_by_William_Shakespear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2019-03-29T02:26:00Z</dcterms:created>
  <dcterms:modified xsi:type="dcterms:W3CDTF">2019-03-29T02:26:00Z</dcterms:modified>
</cp:coreProperties>
</file>